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35C0D" w14:textId="61E9EB74" w:rsidR="003319A8" w:rsidRDefault="003319A8" w:rsidP="003319A8">
      <w:pPr>
        <w:spacing w:after="120"/>
        <w:ind w:firstLine="0"/>
        <w:rPr>
          <w:rFonts w:ascii="Arial" w:eastAsia="Times New Roman" w:hAnsi="Arial" w:cs="Times New Roman"/>
          <w:b/>
          <w:bCs/>
          <w:sz w:val="28"/>
          <w:szCs w:val="28"/>
        </w:rPr>
      </w:pPr>
      <w:r>
        <w:rPr>
          <w:rFonts w:ascii="Arial" w:eastAsia="Times New Roman" w:hAnsi="Arial" w:cs="Times New Roman"/>
          <w:b/>
          <w:bCs/>
          <w:noProof/>
          <w:sz w:val="28"/>
          <w:szCs w:val="28"/>
        </w:rPr>
        <w:drawing>
          <wp:inline distT="0" distB="0" distL="0" distR="0" wp14:anchorId="739C471C" wp14:editId="6C6F4EB0">
            <wp:extent cx="1902066" cy="571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 Foundation Logo.png"/>
                    <pic:cNvPicPr/>
                  </pic:nvPicPr>
                  <pic:blipFill>
                    <a:blip r:embed="rId6">
                      <a:extLst>
                        <a:ext uri="{28A0092B-C50C-407E-A947-70E740481C1C}">
                          <a14:useLocalDpi xmlns:a14="http://schemas.microsoft.com/office/drawing/2010/main" val="0"/>
                        </a:ext>
                      </a:extLst>
                    </a:blip>
                    <a:stretch>
                      <a:fillRect/>
                    </a:stretch>
                  </pic:blipFill>
                  <pic:spPr>
                    <a:xfrm>
                      <a:off x="0" y="0"/>
                      <a:ext cx="1902306" cy="5715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4A8B6DE" w14:textId="334B6BCF" w:rsidR="008C4B26" w:rsidRPr="003319A8" w:rsidRDefault="003A1CB7" w:rsidP="003319A8">
      <w:pPr>
        <w:spacing w:after="120"/>
        <w:ind w:firstLine="0"/>
        <w:rPr>
          <w:rFonts w:ascii="Arial" w:eastAsia="Times New Roman" w:hAnsi="Arial" w:cs="Times New Roman"/>
          <w:b/>
          <w:bCs/>
          <w:sz w:val="28"/>
          <w:szCs w:val="28"/>
        </w:rPr>
      </w:pPr>
      <w:r w:rsidRPr="00384FF5">
        <w:rPr>
          <w:rFonts w:ascii="Arial" w:eastAsia="Times New Roman" w:hAnsi="Arial" w:cs="Times New Roman"/>
          <w:b/>
          <w:bCs/>
          <w:sz w:val="28"/>
          <w:szCs w:val="28"/>
        </w:rPr>
        <w:t>The Social Change Indicators Matrix</w:t>
      </w:r>
      <w:r w:rsidR="008C4B26" w:rsidRPr="00384FF5">
        <w:rPr>
          <w:rStyle w:val="FootnoteReference"/>
          <w:rFonts w:ascii="Arial" w:eastAsia="Times New Roman" w:hAnsi="Arial" w:cs="Times New Roman"/>
          <w:b/>
          <w:bCs/>
          <w:sz w:val="28"/>
          <w:szCs w:val="28"/>
        </w:rPr>
        <w:footnoteReference w:id="1"/>
      </w:r>
    </w:p>
    <w:tbl>
      <w:tblPr>
        <w:tblStyle w:val="TableGrid"/>
        <w:tblW w:w="10800" w:type="dxa"/>
        <w:tblInd w:w="108" w:type="dxa"/>
        <w:tblLook w:val="04A0" w:firstRow="1" w:lastRow="0" w:firstColumn="1" w:lastColumn="0" w:noHBand="0" w:noVBand="1"/>
      </w:tblPr>
      <w:tblGrid>
        <w:gridCol w:w="2257"/>
        <w:gridCol w:w="2700"/>
        <w:gridCol w:w="2921"/>
        <w:gridCol w:w="2922"/>
      </w:tblGrid>
      <w:tr w:rsidR="00B76B70" w:rsidRPr="003120B4" w14:paraId="4E14EDFF" w14:textId="77777777" w:rsidTr="00F02F11">
        <w:tc>
          <w:tcPr>
            <w:tcW w:w="2257" w:type="dxa"/>
            <w:shd w:val="clear" w:color="auto" w:fill="A6A6A6" w:themeFill="background1" w:themeFillShade="A6"/>
            <w:tcMar>
              <w:top w:w="115" w:type="dxa"/>
              <w:left w:w="115" w:type="dxa"/>
              <w:bottom w:w="115" w:type="dxa"/>
              <w:right w:w="115" w:type="dxa"/>
            </w:tcMar>
            <w:vAlign w:val="bottom"/>
          </w:tcPr>
          <w:p w14:paraId="5DF603FD" w14:textId="59A1400D" w:rsidR="003A1CB7" w:rsidRPr="003319A8" w:rsidRDefault="003A1CB7" w:rsidP="00B76B70">
            <w:pPr>
              <w:ind w:firstLine="0"/>
              <w:rPr>
                <w:rFonts w:ascii="Arial" w:hAnsi="Arial"/>
                <w:b/>
                <w:bCs/>
                <w:color w:val="FFFFFF" w:themeColor="background1"/>
                <w:sz w:val="22"/>
                <w:szCs w:val="22"/>
              </w:rPr>
            </w:pPr>
            <w:r w:rsidRPr="003319A8">
              <w:rPr>
                <w:rFonts w:ascii="Arial" w:hAnsi="Arial"/>
                <w:b/>
                <w:bCs/>
                <w:color w:val="FFFFFF" w:themeColor="background1"/>
                <w:sz w:val="22"/>
                <w:szCs w:val="22"/>
              </w:rPr>
              <w:t>Indicator of Social Change Impact</w:t>
            </w:r>
          </w:p>
        </w:tc>
        <w:tc>
          <w:tcPr>
            <w:tcW w:w="2700" w:type="dxa"/>
            <w:shd w:val="clear" w:color="auto" w:fill="A6A6A6" w:themeFill="background1" w:themeFillShade="A6"/>
            <w:tcMar>
              <w:top w:w="115" w:type="dxa"/>
              <w:left w:w="115" w:type="dxa"/>
              <w:bottom w:w="115" w:type="dxa"/>
              <w:right w:w="115" w:type="dxa"/>
            </w:tcMar>
            <w:vAlign w:val="bottom"/>
          </w:tcPr>
          <w:p w14:paraId="4203F713" w14:textId="6F1525E0" w:rsidR="003A1CB7" w:rsidRPr="003319A8" w:rsidRDefault="003A1CB7" w:rsidP="00B76B70">
            <w:pPr>
              <w:ind w:firstLine="0"/>
              <w:rPr>
                <w:rFonts w:ascii="Arial" w:hAnsi="Arial"/>
                <w:b/>
                <w:bCs/>
                <w:color w:val="FFFFFF" w:themeColor="background1"/>
                <w:sz w:val="22"/>
                <w:szCs w:val="22"/>
              </w:rPr>
            </w:pPr>
            <w:r w:rsidRPr="003319A8">
              <w:rPr>
                <w:rFonts w:ascii="Arial" w:hAnsi="Arial"/>
                <w:b/>
                <w:bCs/>
                <w:color w:val="FFFFFF" w:themeColor="background1"/>
                <w:sz w:val="22"/>
                <w:szCs w:val="22"/>
              </w:rPr>
              <w:t>Definition of Shift</w:t>
            </w:r>
          </w:p>
        </w:tc>
        <w:tc>
          <w:tcPr>
            <w:tcW w:w="2921" w:type="dxa"/>
            <w:shd w:val="clear" w:color="auto" w:fill="A6A6A6" w:themeFill="background1" w:themeFillShade="A6"/>
            <w:tcMar>
              <w:top w:w="115" w:type="dxa"/>
              <w:left w:w="115" w:type="dxa"/>
              <w:bottom w:w="115" w:type="dxa"/>
              <w:right w:w="115" w:type="dxa"/>
            </w:tcMar>
            <w:vAlign w:val="bottom"/>
          </w:tcPr>
          <w:p w14:paraId="2D2A588A" w14:textId="2D49CE7B" w:rsidR="003A1CB7" w:rsidRPr="003319A8" w:rsidRDefault="003A1CB7" w:rsidP="00B76B70">
            <w:pPr>
              <w:ind w:firstLine="0"/>
              <w:rPr>
                <w:rFonts w:ascii="Arial" w:hAnsi="Arial"/>
                <w:b/>
                <w:bCs/>
                <w:color w:val="FFFFFF" w:themeColor="background1"/>
                <w:sz w:val="22"/>
                <w:szCs w:val="22"/>
              </w:rPr>
            </w:pPr>
            <w:r w:rsidRPr="003319A8">
              <w:rPr>
                <w:rFonts w:ascii="Arial" w:hAnsi="Arial"/>
                <w:b/>
                <w:bCs/>
                <w:color w:val="FFFFFF" w:themeColor="background1"/>
                <w:sz w:val="22"/>
                <w:szCs w:val="22"/>
              </w:rPr>
              <w:t xml:space="preserve">Typical </w:t>
            </w:r>
            <w:r w:rsidR="00B76B70" w:rsidRPr="003319A8">
              <w:rPr>
                <w:rFonts w:ascii="Arial" w:hAnsi="Arial"/>
                <w:b/>
                <w:bCs/>
                <w:color w:val="FFFFFF" w:themeColor="background1"/>
                <w:sz w:val="22"/>
                <w:szCs w:val="22"/>
              </w:rPr>
              <w:br/>
              <w:t xml:space="preserve">Strategies/Activities Linked </w:t>
            </w:r>
            <w:r w:rsidRPr="003319A8">
              <w:rPr>
                <w:rFonts w:ascii="Arial" w:hAnsi="Arial"/>
                <w:b/>
                <w:bCs/>
                <w:color w:val="FFFFFF" w:themeColor="background1"/>
                <w:sz w:val="22"/>
                <w:szCs w:val="22"/>
              </w:rPr>
              <w:t>to the Shift</w:t>
            </w:r>
          </w:p>
        </w:tc>
        <w:tc>
          <w:tcPr>
            <w:tcW w:w="2922" w:type="dxa"/>
            <w:shd w:val="clear" w:color="auto" w:fill="A6A6A6" w:themeFill="background1" w:themeFillShade="A6"/>
            <w:tcMar>
              <w:top w:w="115" w:type="dxa"/>
              <w:left w:w="115" w:type="dxa"/>
              <w:bottom w:w="115" w:type="dxa"/>
              <w:right w:w="115" w:type="dxa"/>
            </w:tcMar>
            <w:vAlign w:val="bottom"/>
          </w:tcPr>
          <w:p w14:paraId="4C93684B" w14:textId="64669D2D" w:rsidR="003A1CB7" w:rsidRPr="003319A8" w:rsidRDefault="003A1CB7" w:rsidP="00B76B70">
            <w:pPr>
              <w:ind w:firstLine="0"/>
              <w:rPr>
                <w:rFonts w:ascii="Arial" w:hAnsi="Arial"/>
                <w:b/>
                <w:bCs/>
                <w:color w:val="FFFFFF" w:themeColor="background1"/>
                <w:sz w:val="22"/>
                <w:szCs w:val="22"/>
              </w:rPr>
            </w:pPr>
            <w:r w:rsidRPr="003319A8">
              <w:rPr>
                <w:rFonts w:ascii="Arial" w:hAnsi="Arial"/>
                <w:b/>
                <w:bCs/>
                <w:color w:val="FFFFFF" w:themeColor="background1"/>
                <w:sz w:val="22"/>
                <w:szCs w:val="22"/>
              </w:rPr>
              <w:t>Scale of Influence/ Resources Required (time and money)</w:t>
            </w:r>
          </w:p>
        </w:tc>
      </w:tr>
      <w:tr w:rsidR="00B76B70" w:rsidRPr="003120B4" w14:paraId="78F4A6C0" w14:textId="77777777" w:rsidTr="00F02F11">
        <w:tc>
          <w:tcPr>
            <w:tcW w:w="2257" w:type="dxa"/>
            <w:tcMar>
              <w:top w:w="115" w:type="dxa"/>
              <w:left w:w="115" w:type="dxa"/>
              <w:bottom w:w="115" w:type="dxa"/>
              <w:right w:w="115" w:type="dxa"/>
            </w:tcMar>
          </w:tcPr>
          <w:p w14:paraId="3B925E97" w14:textId="77777777" w:rsidR="003A1CB7" w:rsidRPr="00B76B70" w:rsidRDefault="003A1CB7" w:rsidP="003A1CB7">
            <w:pPr>
              <w:ind w:firstLine="0"/>
              <w:rPr>
                <w:rFonts w:ascii="Arial" w:hAnsi="Arial"/>
                <w:b/>
                <w:bCs/>
                <w:sz w:val="20"/>
                <w:szCs w:val="20"/>
              </w:rPr>
            </w:pPr>
            <w:r w:rsidRPr="00B76B70">
              <w:rPr>
                <w:rFonts w:ascii="Arial" w:hAnsi="Arial"/>
                <w:b/>
                <w:bCs/>
                <w:sz w:val="20"/>
                <w:szCs w:val="20"/>
              </w:rPr>
              <w:t xml:space="preserve">Shifts in Definitions </w:t>
            </w:r>
          </w:p>
          <w:p w14:paraId="7043D548" w14:textId="77777777" w:rsidR="002B14BC" w:rsidRPr="00B76B70" w:rsidRDefault="002B14BC" w:rsidP="003A1CB7">
            <w:pPr>
              <w:ind w:firstLine="0"/>
              <w:rPr>
                <w:rFonts w:ascii="Arial" w:hAnsi="Arial"/>
                <w:sz w:val="20"/>
                <w:szCs w:val="20"/>
              </w:rPr>
            </w:pPr>
          </w:p>
          <w:p w14:paraId="5C44D139" w14:textId="33A58749" w:rsidR="003A1CB7" w:rsidRPr="00B76B70" w:rsidRDefault="003A1CB7" w:rsidP="003A1CB7">
            <w:pPr>
              <w:ind w:firstLine="0"/>
              <w:rPr>
                <w:rFonts w:ascii="Arial" w:hAnsi="Arial"/>
                <w:sz w:val="20"/>
                <w:szCs w:val="20"/>
              </w:rPr>
            </w:pPr>
            <w:r w:rsidRPr="00B76B70">
              <w:rPr>
                <w:rFonts w:ascii="Arial" w:hAnsi="Arial"/>
                <w:sz w:val="20"/>
                <w:szCs w:val="20"/>
              </w:rPr>
              <w:t>The issue is defined differently in the community or larger society</w:t>
            </w:r>
          </w:p>
          <w:p w14:paraId="13FB26EE" w14:textId="77777777" w:rsidR="003A1CB7" w:rsidRPr="00B76B70" w:rsidRDefault="003A1CB7">
            <w:pPr>
              <w:ind w:firstLine="0"/>
              <w:rPr>
                <w:rFonts w:ascii="Arial" w:hAnsi="Arial"/>
                <w:sz w:val="20"/>
                <w:szCs w:val="20"/>
              </w:rPr>
            </w:pPr>
          </w:p>
        </w:tc>
        <w:tc>
          <w:tcPr>
            <w:tcW w:w="2700" w:type="dxa"/>
            <w:tcMar>
              <w:top w:w="115" w:type="dxa"/>
              <w:left w:w="115" w:type="dxa"/>
              <w:bottom w:w="115" w:type="dxa"/>
              <w:right w:w="115" w:type="dxa"/>
            </w:tcMar>
          </w:tcPr>
          <w:p w14:paraId="25114364" w14:textId="2CEC1FA9" w:rsidR="003A1CB7" w:rsidRPr="00B76B70" w:rsidRDefault="003A1CB7">
            <w:pPr>
              <w:ind w:firstLine="0"/>
              <w:rPr>
                <w:rFonts w:ascii="Arial" w:hAnsi="Arial"/>
                <w:sz w:val="20"/>
                <w:szCs w:val="20"/>
              </w:rPr>
            </w:pPr>
            <w:r w:rsidRPr="00B76B70">
              <w:rPr>
                <w:rFonts w:ascii="Arial" w:hAnsi="Arial"/>
                <w:sz w:val="20"/>
                <w:szCs w:val="20"/>
              </w:rPr>
              <w:t>An issue or idea is given new meaning. The community or society sees the issue differently as a result of your work (</w:t>
            </w:r>
            <w:r w:rsidRPr="00B76B70">
              <w:rPr>
                <w:rFonts w:ascii="Arial" w:hAnsi="Arial"/>
                <w:i/>
                <w:iCs/>
                <w:sz w:val="20"/>
                <w:szCs w:val="20"/>
              </w:rPr>
              <w:t>i.e.</w:t>
            </w:r>
            <w:r w:rsidRPr="00B76B70">
              <w:rPr>
                <w:rFonts w:ascii="Arial" w:hAnsi="Arial"/>
                <w:sz w:val="20"/>
                <w:szCs w:val="20"/>
              </w:rPr>
              <w:t xml:space="preserve"> rape is understood as an act of violence with legal and civil consequences</w:t>
            </w:r>
            <w:r w:rsidR="008C4B26" w:rsidRPr="00B76B70">
              <w:rPr>
                <w:rFonts w:ascii="Arial" w:hAnsi="Arial"/>
                <w:sz w:val="20"/>
                <w:szCs w:val="20"/>
              </w:rPr>
              <w:t xml:space="preserve">, </w:t>
            </w:r>
            <w:r w:rsidRPr="00B76B70">
              <w:rPr>
                <w:rFonts w:ascii="Arial" w:hAnsi="Arial"/>
                <w:sz w:val="20"/>
                <w:szCs w:val="20"/>
              </w:rPr>
              <w:t>not a sexual transgression).</w:t>
            </w:r>
          </w:p>
        </w:tc>
        <w:tc>
          <w:tcPr>
            <w:tcW w:w="2921" w:type="dxa"/>
            <w:tcMar>
              <w:top w:w="115" w:type="dxa"/>
              <w:left w:w="115" w:type="dxa"/>
              <w:bottom w:w="115" w:type="dxa"/>
              <w:right w:w="115" w:type="dxa"/>
            </w:tcMar>
          </w:tcPr>
          <w:p w14:paraId="667CE874" w14:textId="77777777" w:rsidR="003A1CB7" w:rsidRPr="00B76B70" w:rsidRDefault="003A1CB7" w:rsidP="003A1CB7">
            <w:pPr>
              <w:ind w:firstLine="0"/>
              <w:rPr>
                <w:rFonts w:ascii="Arial" w:hAnsi="Arial"/>
                <w:sz w:val="20"/>
                <w:szCs w:val="20"/>
              </w:rPr>
            </w:pPr>
            <w:r w:rsidRPr="00B76B70">
              <w:rPr>
                <w:rFonts w:ascii="Arial" w:hAnsi="Arial"/>
                <w:sz w:val="20"/>
                <w:szCs w:val="20"/>
              </w:rPr>
              <w:t>Research, documentation of actual experiences, articulating concepts through writing and/or presentations.</w:t>
            </w:r>
          </w:p>
          <w:p w14:paraId="22531F62" w14:textId="77777777" w:rsidR="003A1CB7" w:rsidRPr="00B76B70" w:rsidRDefault="003A1CB7">
            <w:pPr>
              <w:ind w:firstLine="0"/>
              <w:rPr>
                <w:rFonts w:ascii="Arial" w:hAnsi="Arial"/>
                <w:sz w:val="20"/>
                <w:szCs w:val="20"/>
              </w:rPr>
            </w:pPr>
          </w:p>
        </w:tc>
        <w:tc>
          <w:tcPr>
            <w:tcW w:w="2922" w:type="dxa"/>
            <w:tcMar>
              <w:top w:w="115" w:type="dxa"/>
              <w:left w:w="115" w:type="dxa"/>
              <w:bottom w:w="115" w:type="dxa"/>
              <w:right w:w="115" w:type="dxa"/>
            </w:tcMar>
          </w:tcPr>
          <w:p w14:paraId="69E7B416" w14:textId="31C24493" w:rsidR="003A1CB7" w:rsidRPr="00B76B70" w:rsidRDefault="003A1CB7">
            <w:pPr>
              <w:ind w:firstLine="0"/>
              <w:rPr>
                <w:rFonts w:ascii="Arial" w:hAnsi="Arial"/>
                <w:sz w:val="20"/>
                <w:szCs w:val="20"/>
              </w:rPr>
            </w:pPr>
            <w:r w:rsidRPr="00B76B70">
              <w:rPr>
                <w:rFonts w:ascii="Arial" w:hAnsi="Arial"/>
                <w:sz w:val="20"/>
                <w:szCs w:val="20"/>
              </w:rPr>
              <w:t>Poten</w:t>
            </w:r>
            <w:r w:rsidR="00BC4DA9">
              <w:rPr>
                <w:rFonts w:ascii="Arial" w:hAnsi="Arial"/>
                <w:sz w:val="20"/>
                <w:szCs w:val="20"/>
              </w:rPr>
              <w:t>tial to be large and profound—</w:t>
            </w:r>
            <w:r w:rsidRPr="00B76B70">
              <w:rPr>
                <w:rFonts w:ascii="Arial" w:hAnsi="Arial"/>
                <w:sz w:val="20"/>
                <w:szCs w:val="20"/>
              </w:rPr>
              <w:t>locally and globally. Sometimes small resources can spark a change. Combining shift #1 and #2 can be effective for accomplishing “buy-in” of new definitions. One-time funding of research/ dialogue can sometimes result in new definitions.</w:t>
            </w:r>
          </w:p>
        </w:tc>
      </w:tr>
      <w:tr w:rsidR="00B76B70" w:rsidRPr="003120B4" w14:paraId="5AEEDD15" w14:textId="77777777" w:rsidTr="00F02F11">
        <w:tc>
          <w:tcPr>
            <w:tcW w:w="2257" w:type="dxa"/>
            <w:tcMar>
              <w:top w:w="115" w:type="dxa"/>
              <w:left w:w="115" w:type="dxa"/>
              <w:bottom w:w="115" w:type="dxa"/>
              <w:right w:w="115" w:type="dxa"/>
            </w:tcMar>
          </w:tcPr>
          <w:p w14:paraId="1CF9944C" w14:textId="77777777" w:rsidR="002B14BC" w:rsidRPr="00B76B70" w:rsidRDefault="003A1CB7" w:rsidP="003A1CB7">
            <w:pPr>
              <w:ind w:firstLine="0"/>
              <w:rPr>
                <w:rFonts w:ascii="Arial" w:hAnsi="Arial"/>
                <w:sz w:val="20"/>
                <w:szCs w:val="20"/>
              </w:rPr>
            </w:pPr>
            <w:r w:rsidRPr="00B76B70">
              <w:rPr>
                <w:rFonts w:ascii="Arial" w:hAnsi="Arial"/>
                <w:b/>
                <w:bCs/>
                <w:sz w:val="20"/>
                <w:szCs w:val="20"/>
              </w:rPr>
              <w:t>Shifts in Engagement</w:t>
            </w:r>
            <w:r w:rsidRPr="00B76B70">
              <w:rPr>
                <w:rFonts w:ascii="Arial" w:hAnsi="Arial"/>
                <w:sz w:val="20"/>
                <w:szCs w:val="20"/>
              </w:rPr>
              <w:t xml:space="preserve"> </w:t>
            </w:r>
          </w:p>
          <w:p w14:paraId="73B5F532" w14:textId="77777777" w:rsidR="002B14BC" w:rsidRPr="00B76B70" w:rsidRDefault="002B14BC" w:rsidP="003A1CB7">
            <w:pPr>
              <w:ind w:firstLine="0"/>
              <w:rPr>
                <w:rFonts w:ascii="Arial" w:hAnsi="Arial"/>
                <w:sz w:val="20"/>
                <w:szCs w:val="20"/>
              </w:rPr>
            </w:pPr>
          </w:p>
          <w:p w14:paraId="30D79B3A" w14:textId="2DBAD624" w:rsidR="003A1CB7" w:rsidRPr="00B76B70" w:rsidRDefault="003A1CB7" w:rsidP="003A1CB7">
            <w:pPr>
              <w:ind w:firstLine="0"/>
              <w:rPr>
                <w:rFonts w:ascii="Arial" w:hAnsi="Arial"/>
                <w:sz w:val="20"/>
                <w:szCs w:val="20"/>
              </w:rPr>
            </w:pPr>
            <w:r w:rsidRPr="00B76B70">
              <w:rPr>
                <w:rFonts w:ascii="Arial" w:hAnsi="Arial"/>
                <w:sz w:val="20"/>
                <w:szCs w:val="20"/>
              </w:rPr>
              <w:t>People in the community or larger society are more engaged.</w:t>
            </w:r>
          </w:p>
          <w:p w14:paraId="5CAE1021" w14:textId="77777777" w:rsidR="003A1CB7" w:rsidRPr="00B76B70" w:rsidRDefault="003A1CB7">
            <w:pPr>
              <w:ind w:firstLine="0"/>
              <w:rPr>
                <w:rFonts w:ascii="Arial" w:hAnsi="Arial"/>
                <w:sz w:val="20"/>
                <w:szCs w:val="20"/>
              </w:rPr>
            </w:pPr>
          </w:p>
        </w:tc>
        <w:tc>
          <w:tcPr>
            <w:tcW w:w="2700" w:type="dxa"/>
            <w:tcMar>
              <w:top w:w="115" w:type="dxa"/>
              <w:left w:w="115" w:type="dxa"/>
              <w:bottom w:w="115" w:type="dxa"/>
              <w:right w:w="115" w:type="dxa"/>
            </w:tcMar>
          </w:tcPr>
          <w:p w14:paraId="1CADAFE9" w14:textId="5AE7949F" w:rsidR="003A1CB7" w:rsidRPr="00B76B70" w:rsidRDefault="003A1CB7">
            <w:pPr>
              <w:ind w:firstLine="0"/>
              <w:rPr>
                <w:rFonts w:ascii="Arial" w:hAnsi="Arial"/>
                <w:sz w:val="20"/>
                <w:szCs w:val="20"/>
              </w:rPr>
            </w:pPr>
            <w:r w:rsidRPr="00B76B70">
              <w:rPr>
                <w:rFonts w:ascii="Arial" w:hAnsi="Arial"/>
                <w:sz w:val="20"/>
                <w:szCs w:val="20"/>
              </w:rPr>
              <w:t xml:space="preserve">More people are engaged in an idea of action as a result of your work. Ideally, enough people get involved that they are noticed, voices are heard, </w:t>
            </w:r>
            <w:r w:rsidRPr="00B76B70">
              <w:rPr>
                <w:rFonts w:ascii="Arial" w:hAnsi="Arial"/>
                <w:i/>
                <w:iCs/>
                <w:sz w:val="20"/>
                <w:szCs w:val="20"/>
              </w:rPr>
              <w:t>i.e.</w:t>
            </w:r>
            <w:r w:rsidRPr="00B76B70">
              <w:rPr>
                <w:rFonts w:ascii="Arial" w:hAnsi="Arial"/>
                <w:sz w:val="20"/>
                <w:szCs w:val="20"/>
              </w:rPr>
              <w:t xml:space="preserve"> a critical mass is reached</w:t>
            </w:r>
            <w:r w:rsidR="008C4B26" w:rsidRPr="00B76B70">
              <w:rPr>
                <w:rFonts w:ascii="Arial" w:hAnsi="Arial"/>
                <w:sz w:val="20"/>
                <w:szCs w:val="20"/>
              </w:rPr>
              <w:t xml:space="preserve">, </w:t>
            </w:r>
            <w:r w:rsidRPr="00B76B70">
              <w:rPr>
                <w:rFonts w:ascii="Arial" w:hAnsi="Arial"/>
                <w:i/>
                <w:iCs/>
                <w:sz w:val="20"/>
                <w:szCs w:val="20"/>
              </w:rPr>
              <w:t>e.g.</w:t>
            </w:r>
            <w:r w:rsidRPr="00B76B70">
              <w:rPr>
                <w:rFonts w:ascii="Arial" w:hAnsi="Arial"/>
                <w:sz w:val="20"/>
                <w:szCs w:val="20"/>
              </w:rPr>
              <w:t xml:space="preserve"> individuals from groups coalesce for regional impact and numbers of people and organizations make a difference.</w:t>
            </w:r>
          </w:p>
        </w:tc>
        <w:tc>
          <w:tcPr>
            <w:tcW w:w="2921" w:type="dxa"/>
            <w:tcMar>
              <w:top w:w="115" w:type="dxa"/>
              <w:left w:w="115" w:type="dxa"/>
              <w:bottom w:w="115" w:type="dxa"/>
              <w:right w:w="115" w:type="dxa"/>
            </w:tcMar>
          </w:tcPr>
          <w:p w14:paraId="4E424307" w14:textId="08E7A013" w:rsidR="003A1CB7" w:rsidRPr="00B76B70" w:rsidRDefault="003A1CB7" w:rsidP="00B76B70">
            <w:pPr>
              <w:ind w:firstLine="0"/>
              <w:rPr>
                <w:rFonts w:ascii="Arial" w:hAnsi="Arial"/>
                <w:sz w:val="20"/>
                <w:szCs w:val="20"/>
              </w:rPr>
            </w:pPr>
            <w:r w:rsidRPr="00B76B70">
              <w:rPr>
                <w:rFonts w:ascii="Arial" w:hAnsi="Arial"/>
                <w:sz w:val="20"/>
                <w:szCs w:val="20"/>
              </w:rPr>
              <w:t>Community-based organizing and public education (including media education); media campaigns; networking; supporting a group to find collective strength or identity, etc.</w:t>
            </w:r>
            <w:r w:rsidR="0099344A" w:rsidRPr="00B76B70">
              <w:rPr>
                <w:rFonts w:ascii="Arial" w:hAnsi="Arial"/>
                <w:sz w:val="20"/>
                <w:szCs w:val="20"/>
              </w:rPr>
              <w:t xml:space="preserve"> Example: MEN Can initiative to engage anyone </w:t>
            </w:r>
            <w:r w:rsidR="0099344A" w:rsidRPr="00B76B70">
              <w:rPr>
                <w:rStyle w:val="normaltextrun"/>
                <w:rFonts w:ascii="Arial" w:hAnsi="Arial" w:cs="Arial"/>
                <w:color w:val="161616"/>
                <w:sz w:val="20"/>
                <w:szCs w:val="20"/>
              </w:rPr>
              <w:t>who identifies with masculinity as advocates against interpersonal violence.</w:t>
            </w:r>
          </w:p>
        </w:tc>
        <w:tc>
          <w:tcPr>
            <w:tcW w:w="2922" w:type="dxa"/>
            <w:tcMar>
              <w:top w:w="115" w:type="dxa"/>
              <w:left w:w="115" w:type="dxa"/>
              <w:bottom w:w="115" w:type="dxa"/>
              <w:right w:w="115" w:type="dxa"/>
            </w:tcMar>
          </w:tcPr>
          <w:p w14:paraId="5F124506" w14:textId="2D5D5E83" w:rsidR="003A1CB7" w:rsidRPr="00B76B70" w:rsidRDefault="003A1CB7">
            <w:pPr>
              <w:ind w:firstLine="0"/>
              <w:rPr>
                <w:rFonts w:ascii="Arial" w:hAnsi="Arial"/>
                <w:sz w:val="20"/>
                <w:szCs w:val="20"/>
              </w:rPr>
            </w:pPr>
            <w:r w:rsidRPr="00B76B70">
              <w:rPr>
                <w:rFonts w:ascii="Arial" w:hAnsi="Arial"/>
                <w:sz w:val="20"/>
                <w:szCs w:val="20"/>
              </w:rPr>
              <w:t>Potential to be large and profound, especially when “critical mass” is defined more explicitly to match the vision or goal. Usually requires large financial resources and multiple years of attention to assist organizing efforts, institutional coalitions or development of intermediaries and networks, often including media strategies.</w:t>
            </w:r>
          </w:p>
        </w:tc>
      </w:tr>
      <w:tr w:rsidR="00B76B70" w:rsidRPr="003120B4" w14:paraId="4CAC1671" w14:textId="77777777" w:rsidTr="00F02F11">
        <w:tc>
          <w:tcPr>
            <w:tcW w:w="2257" w:type="dxa"/>
            <w:tcMar>
              <w:top w:w="115" w:type="dxa"/>
              <w:left w:w="115" w:type="dxa"/>
              <w:bottom w:w="115" w:type="dxa"/>
              <w:right w:w="115" w:type="dxa"/>
            </w:tcMar>
          </w:tcPr>
          <w:p w14:paraId="2FE93BD3" w14:textId="77777777" w:rsidR="003A1CB7" w:rsidRPr="00B76B70" w:rsidRDefault="003A1CB7" w:rsidP="003A1CB7">
            <w:pPr>
              <w:ind w:firstLine="0"/>
              <w:rPr>
                <w:rFonts w:ascii="Arial" w:hAnsi="Arial"/>
                <w:b/>
                <w:bCs/>
                <w:sz w:val="20"/>
                <w:szCs w:val="20"/>
              </w:rPr>
            </w:pPr>
            <w:r w:rsidRPr="00B76B70">
              <w:rPr>
                <w:rFonts w:ascii="Arial" w:hAnsi="Arial"/>
                <w:b/>
                <w:bCs/>
                <w:sz w:val="20"/>
                <w:szCs w:val="20"/>
              </w:rPr>
              <w:t xml:space="preserve">Shifts in Policies </w:t>
            </w:r>
          </w:p>
          <w:p w14:paraId="777205B8" w14:textId="77777777" w:rsidR="002B14BC" w:rsidRPr="00B76B70" w:rsidRDefault="002B14BC" w:rsidP="003A1CB7">
            <w:pPr>
              <w:ind w:firstLine="0"/>
              <w:rPr>
                <w:rFonts w:ascii="Arial" w:hAnsi="Arial"/>
                <w:sz w:val="20"/>
                <w:szCs w:val="20"/>
              </w:rPr>
            </w:pPr>
          </w:p>
          <w:p w14:paraId="57B51F53" w14:textId="268C825E" w:rsidR="003A1CB7" w:rsidRPr="00B76B70" w:rsidRDefault="003A1CB7" w:rsidP="003A1CB7">
            <w:pPr>
              <w:ind w:firstLine="0"/>
              <w:rPr>
                <w:rFonts w:ascii="Arial" w:hAnsi="Arial"/>
                <w:sz w:val="20"/>
                <w:szCs w:val="20"/>
              </w:rPr>
            </w:pPr>
            <w:r w:rsidRPr="00B76B70">
              <w:rPr>
                <w:rFonts w:ascii="Arial" w:hAnsi="Arial"/>
                <w:sz w:val="20"/>
                <w:szCs w:val="20"/>
              </w:rPr>
              <w:t>An institutional, organizational or legislative policy or practice has changed.</w:t>
            </w:r>
          </w:p>
          <w:p w14:paraId="18A449AB" w14:textId="77777777" w:rsidR="003A1CB7" w:rsidRPr="00B76B70" w:rsidRDefault="003A1CB7">
            <w:pPr>
              <w:ind w:firstLine="0"/>
              <w:rPr>
                <w:rFonts w:ascii="Arial" w:hAnsi="Arial"/>
                <w:sz w:val="20"/>
                <w:szCs w:val="20"/>
              </w:rPr>
            </w:pPr>
          </w:p>
        </w:tc>
        <w:tc>
          <w:tcPr>
            <w:tcW w:w="2700" w:type="dxa"/>
            <w:tcMar>
              <w:top w:w="115" w:type="dxa"/>
              <w:left w:w="115" w:type="dxa"/>
              <w:bottom w:w="115" w:type="dxa"/>
              <w:right w:w="115" w:type="dxa"/>
            </w:tcMar>
          </w:tcPr>
          <w:p w14:paraId="71AAF332" w14:textId="7205A563" w:rsidR="003A1CB7" w:rsidRPr="00B76B70" w:rsidRDefault="003A1CB7">
            <w:pPr>
              <w:ind w:firstLine="0"/>
              <w:rPr>
                <w:rFonts w:ascii="Arial" w:hAnsi="Arial"/>
                <w:sz w:val="20"/>
                <w:szCs w:val="20"/>
              </w:rPr>
            </w:pPr>
            <w:r w:rsidRPr="00B76B70">
              <w:rPr>
                <w:rFonts w:ascii="Arial" w:hAnsi="Arial"/>
                <w:sz w:val="20"/>
                <w:szCs w:val="20"/>
              </w:rPr>
              <w:t>Organizational, local, regional, state, national or international policy or practice has changed to better serve social change ideals (e.g. specific laws change and/or institutional systems change or practices change).</w:t>
            </w:r>
          </w:p>
        </w:tc>
        <w:tc>
          <w:tcPr>
            <w:tcW w:w="2921" w:type="dxa"/>
            <w:tcMar>
              <w:top w:w="115" w:type="dxa"/>
              <w:left w:w="115" w:type="dxa"/>
              <w:bottom w:w="115" w:type="dxa"/>
              <w:right w:w="115" w:type="dxa"/>
            </w:tcMar>
          </w:tcPr>
          <w:p w14:paraId="4640A958" w14:textId="013D8E3A" w:rsidR="003A1CB7" w:rsidRPr="00B76B70" w:rsidRDefault="003A1CB7">
            <w:pPr>
              <w:ind w:firstLine="0"/>
              <w:rPr>
                <w:rFonts w:ascii="Arial" w:hAnsi="Arial"/>
                <w:sz w:val="20"/>
                <w:szCs w:val="20"/>
              </w:rPr>
            </w:pPr>
            <w:r w:rsidRPr="00B76B70">
              <w:rPr>
                <w:rFonts w:ascii="Arial" w:hAnsi="Arial"/>
                <w:sz w:val="20"/>
                <w:szCs w:val="20"/>
              </w:rPr>
              <w:t>Public policy reform, education and interaction with policy and system level decisionmakers.</w:t>
            </w:r>
            <w:r w:rsidR="0099344A" w:rsidRPr="00B76B70">
              <w:rPr>
                <w:rFonts w:ascii="Arial" w:hAnsi="Arial"/>
                <w:sz w:val="20"/>
                <w:szCs w:val="20"/>
              </w:rPr>
              <w:t xml:space="preserve"> Example: Education Law Center’s project to promote innovative policies and practices that decrease Black girls’ disproportionate presence in the school-to-prison pipeline.</w:t>
            </w:r>
          </w:p>
        </w:tc>
        <w:tc>
          <w:tcPr>
            <w:tcW w:w="2922" w:type="dxa"/>
            <w:tcMar>
              <w:top w:w="115" w:type="dxa"/>
              <w:left w:w="115" w:type="dxa"/>
              <w:bottom w:w="115" w:type="dxa"/>
              <w:right w:w="115" w:type="dxa"/>
            </w:tcMar>
          </w:tcPr>
          <w:p w14:paraId="7CD0F506" w14:textId="79BC9D15" w:rsidR="003A1CB7" w:rsidRPr="00B76B70" w:rsidRDefault="003A1CB7" w:rsidP="003A1CB7">
            <w:pPr>
              <w:ind w:firstLine="0"/>
              <w:rPr>
                <w:rFonts w:ascii="Arial" w:hAnsi="Arial"/>
                <w:sz w:val="20"/>
                <w:szCs w:val="20"/>
              </w:rPr>
            </w:pPr>
            <w:r w:rsidRPr="00B76B70">
              <w:rPr>
                <w:rFonts w:ascii="Arial" w:hAnsi="Arial"/>
                <w:sz w:val="20"/>
                <w:szCs w:val="20"/>
              </w:rPr>
              <w:t>Potential to be large-scale if change occurs at state or national policy levels; local systemic change schools, courts, etc</w:t>
            </w:r>
            <w:r w:rsidR="0099344A" w:rsidRPr="00B76B70">
              <w:rPr>
                <w:rFonts w:ascii="Arial" w:hAnsi="Arial"/>
                <w:sz w:val="20"/>
                <w:szCs w:val="20"/>
              </w:rPr>
              <w:t>.</w:t>
            </w:r>
            <w:r w:rsidRPr="00B76B70">
              <w:rPr>
                <w:rFonts w:ascii="Arial" w:hAnsi="Arial"/>
                <w:sz w:val="20"/>
                <w:szCs w:val="20"/>
              </w:rPr>
              <w:t xml:space="preserve"> can also be important. Usually requires multiple years of investments and a variety of approaches.</w:t>
            </w:r>
          </w:p>
          <w:p w14:paraId="39AD6944" w14:textId="77777777" w:rsidR="003A1CB7" w:rsidRPr="00B76B70" w:rsidRDefault="003A1CB7">
            <w:pPr>
              <w:ind w:firstLine="0"/>
              <w:rPr>
                <w:rFonts w:ascii="Arial" w:hAnsi="Arial"/>
                <w:sz w:val="20"/>
                <w:szCs w:val="20"/>
              </w:rPr>
            </w:pPr>
          </w:p>
        </w:tc>
      </w:tr>
      <w:tr w:rsidR="00B76B70" w:rsidRPr="003120B4" w14:paraId="2B0FBB25" w14:textId="77777777" w:rsidTr="00F02F11">
        <w:tc>
          <w:tcPr>
            <w:tcW w:w="2257" w:type="dxa"/>
            <w:tcMar>
              <w:top w:w="115" w:type="dxa"/>
              <w:left w:w="115" w:type="dxa"/>
              <w:bottom w:w="115" w:type="dxa"/>
              <w:right w:w="115" w:type="dxa"/>
            </w:tcMar>
          </w:tcPr>
          <w:p w14:paraId="2F1A1A97" w14:textId="77777777" w:rsidR="002B14BC" w:rsidRPr="00B76B70" w:rsidRDefault="003A1CB7" w:rsidP="003A1CB7">
            <w:pPr>
              <w:ind w:firstLine="0"/>
              <w:rPr>
                <w:rFonts w:ascii="Arial" w:hAnsi="Arial"/>
                <w:sz w:val="20"/>
                <w:szCs w:val="20"/>
              </w:rPr>
            </w:pPr>
            <w:r w:rsidRPr="00B76B70">
              <w:rPr>
                <w:rFonts w:ascii="Arial" w:hAnsi="Arial"/>
                <w:b/>
                <w:bCs/>
                <w:sz w:val="20"/>
                <w:szCs w:val="20"/>
              </w:rPr>
              <w:t>Current Position Maintained</w:t>
            </w:r>
            <w:r w:rsidRPr="00B76B70">
              <w:rPr>
                <w:rFonts w:ascii="Arial" w:hAnsi="Arial"/>
                <w:sz w:val="20"/>
                <w:szCs w:val="20"/>
              </w:rPr>
              <w:t xml:space="preserve"> </w:t>
            </w:r>
          </w:p>
          <w:p w14:paraId="5E05E64E" w14:textId="77777777" w:rsidR="002B14BC" w:rsidRPr="00B76B70" w:rsidRDefault="002B14BC" w:rsidP="003A1CB7">
            <w:pPr>
              <w:ind w:firstLine="0"/>
              <w:rPr>
                <w:rFonts w:ascii="Arial" w:hAnsi="Arial"/>
                <w:sz w:val="20"/>
                <w:szCs w:val="20"/>
              </w:rPr>
            </w:pPr>
          </w:p>
          <w:p w14:paraId="00E5C47F" w14:textId="10E6D54D" w:rsidR="003A1CB7" w:rsidRPr="00B76B70" w:rsidRDefault="003A1CB7">
            <w:pPr>
              <w:ind w:firstLine="0"/>
              <w:rPr>
                <w:rFonts w:ascii="Arial" w:hAnsi="Arial"/>
                <w:sz w:val="20"/>
                <w:szCs w:val="20"/>
              </w:rPr>
            </w:pPr>
            <w:r w:rsidRPr="00B76B70">
              <w:rPr>
                <w:rFonts w:ascii="Arial" w:hAnsi="Arial"/>
                <w:sz w:val="20"/>
                <w:szCs w:val="20"/>
              </w:rPr>
              <w:t>Past gains have been maintained.</w:t>
            </w:r>
          </w:p>
        </w:tc>
        <w:tc>
          <w:tcPr>
            <w:tcW w:w="2700" w:type="dxa"/>
            <w:tcMar>
              <w:top w:w="115" w:type="dxa"/>
              <w:left w:w="115" w:type="dxa"/>
              <w:bottom w:w="115" w:type="dxa"/>
              <w:right w:w="115" w:type="dxa"/>
            </w:tcMar>
          </w:tcPr>
          <w:p w14:paraId="09AFEEA4" w14:textId="22EE7C91" w:rsidR="003A1CB7" w:rsidRPr="00B76B70" w:rsidRDefault="003A1CB7">
            <w:pPr>
              <w:ind w:firstLine="0"/>
              <w:rPr>
                <w:rFonts w:ascii="Arial" w:hAnsi="Arial"/>
                <w:sz w:val="20"/>
                <w:szCs w:val="20"/>
              </w:rPr>
            </w:pPr>
            <w:r w:rsidRPr="00B76B70">
              <w:rPr>
                <w:rFonts w:ascii="Arial" w:hAnsi="Arial"/>
                <w:sz w:val="20"/>
                <w:szCs w:val="20"/>
              </w:rPr>
              <w:t xml:space="preserve">Earlier progress on issues is maintained in the face of opposition (e.g. </w:t>
            </w:r>
          </w:p>
        </w:tc>
        <w:tc>
          <w:tcPr>
            <w:tcW w:w="2921" w:type="dxa"/>
            <w:tcMar>
              <w:top w:w="115" w:type="dxa"/>
              <w:left w:w="115" w:type="dxa"/>
              <w:bottom w:w="115" w:type="dxa"/>
              <w:right w:w="115" w:type="dxa"/>
            </w:tcMar>
          </w:tcPr>
          <w:p w14:paraId="3D62CD64" w14:textId="2D3F7CC8" w:rsidR="003A1CB7" w:rsidRPr="00B76B70" w:rsidRDefault="003A1CB7">
            <w:pPr>
              <w:ind w:firstLine="0"/>
              <w:rPr>
                <w:rFonts w:ascii="Arial" w:hAnsi="Arial"/>
                <w:sz w:val="20"/>
                <w:szCs w:val="20"/>
              </w:rPr>
            </w:pPr>
            <w:r w:rsidRPr="00B76B70">
              <w:rPr>
                <w:rFonts w:ascii="Arial" w:hAnsi="Arial"/>
                <w:sz w:val="20"/>
                <w:szCs w:val="20"/>
              </w:rPr>
              <w:t>Strengthen organizations and leaders and their ability to withstand backlash and resistance to change.</w:t>
            </w:r>
          </w:p>
        </w:tc>
        <w:tc>
          <w:tcPr>
            <w:tcW w:w="2922" w:type="dxa"/>
            <w:tcMar>
              <w:top w:w="115" w:type="dxa"/>
              <w:left w:w="115" w:type="dxa"/>
              <w:bottom w:w="115" w:type="dxa"/>
              <w:right w:w="115" w:type="dxa"/>
            </w:tcMar>
          </w:tcPr>
          <w:p w14:paraId="126E4312" w14:textId="4A651EB4" w:rsidR="003A1CB7" w:rsidRPr="00B76B70" w:rsidRDefault="003A1CB7">
            <w:pPr>
              <w:ind w:firstLine="0"/>
              <w:rPr>
                <w:rFonts w:ascii="Arial" w:hAnsi="Arial"/>
                <w:sz w:val="20"/>
                <w:szCs w:val="20"/>
              </w:rPr>
            </w:pPr>
            <w:r w:rsidRPr="00B76B70">
              <w:rPr>
                <w:rFonts w:ascii="Arial" w:hAnsi="Arial"/>
                <w:sz w:val="20"/>
                <w:szCs w:val="20"/>
              </w:rPr>
              <w:t>Often the work is complex and requires the interactions of people from many levels, including community-based. Resources needed depend on the scale of the resistance effort.</w:t>
            </w:r>
            <w:r w:rsidR="0099344A" w:rsidRPr="00B76B70">
              <w:rPr>
                <w:rFonts w:ascii="Arial" w:hAnsi="Arial"/>
                <w:sz w:val="20"/>
                <w:szCs w:val="20"/>
              </w:rPr>
              <w:t xml:space="preserve"> Example: Women’s Law Project operating fund</w:t>
            </w:r>
            <w:r w:rsidR="00DD152E" w:rsidRPr="00B76B70">
              <w:rPr>
                <w:rFonts w:ascii="Arial" w:hAnsi="Arial"/>
                <w:sz w:val="20"/>
                <w:szCs w:val="20"/>
              </w:rPr>
              <w:t xml:space="preserve">. </w:t>
            </w:r>
          </w:p>
        </w:tc>
      </w:tr>
    </w:tbl>
    <w:p w14:paraId="3BD4D5F4" w14:textId="77777777" w:rsidR="003A1CB7" w:rsidRPr="003120B4" w:rsidRDefault="003A1CB7" w:rsidP="003A1CB7">
      <w:pPr>
        <w:ind w:firstLine="0"/>
        <w:rPr>
          <w:rFonts w:ascii="Times" w:hAnsi="Times"/>
        </w:rPr>
      </w:pPr>
    </w:p>
    <w:sectPr w:rsidR="003A1CB7" w:rsidRPr="003120B4" w:rsidSect="00384FF5">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62D1" w14:textId="77777777" w:rsidR="005216CF" w:rsidRDefault="005216CF" w:rsidP="008C4B26">
      <w:r>
        <w:separator/>
      </w:r>
    </w:p>
  </w:endnote>
  <w:endnote w:type="continuationSeparator" w:id="0">
    <w:p w14:paraId="27AE500D" w14:textId="77777777" w:rsidR="005216CF" w:rsidRDefault="005216CF" w:rsidP="008C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B711F" w14:textId="77777777" w:rsidR="005216CF" w:rsidRDefault="005216CF" w:rsidP="008C4B26">
      <w:r>
        <w:separator/>
      </w:r>
    </w:p>
  </w:footnote>
  <w:footnote w:type="continuationSeparator" w:id="0">
    <w:p w14:paraId="4CA0C0B2" w14:textId="77777777" w:rsidR="005216CF" w:rsidRDefault="005216CF" w:rsidP="008C4B26">
      <w:r>
        <w:continuationSeparator/>
      </w:r>
    </w:p>
  </w:footnote>
  <w:footnote w:id="1">
    <w:p w14:paraId="0DEF4E36" w14:textId="13C5948F" w:rsidR="008C4B26" w:rsidRPr="00B76B70" w:rsidRDefault="008C4B26" w:rsidP="00B76B70">
      <w:pPr>
        <w:ind w:firstLine="0"/>
        <w:rPr>
          <w:rFonts w:ascii="Arial" w:eastAsia="Times New Roman" w:hAnsi="Arial" w:cs="Times New Roman"/>
          <w:sz w:val="16"/>
          <w:szCs w:val="16"/>
        </w:rPr>
      </w:pPr>
      <w:r w:rsidRPr="00B76B70">
        <w:rPr>
          <w:rStyle w:val="FootnoteReference"/>
          <w:rFonts w:ascii="Arial" w:hAnsi="Arial"/>
          <w:sz w:val="16"/>
          <w:szCs w:val="16"/>
        </w:rPr>
        <w:footnoteRef/>
      </w:r>
      <w:r w:rsidRPr="00B76B70">
        <w:rPr>
          <w:rFonts w:ascii="Arial" w:hAnsi="Arial"/>
          <w:sz w:val="16"/>
          <w:szCs w:val="16"/>
        </w:rPr>
        <w:t xml:space="preserve"> </w:t>
      </w:r>
      <w:r w:rsidRPr="00B76B70">
        <w:rPr>
          <w:rFonts w:ascii="Arial" w:eastAsia="Times New Roman" w:hAnsi="Arial" w:cs="Times New Roman"/>
          <w:sz w:val="16"/>
          <w:szCs w:val="16"/>
        </w:rPr>
        <w:t xml:space="preserve">Adapted by The Valentine Foundation from the tool developed by Stephanie Clohesy of Clohesy Consulting, based on WFN’s Making the Case tool. Updated in November 2019. </w:t>
      </w:r>
    </w:p>
    <w:p w14:paraId="4662C5C8" w14:textId="30981FF8" w:rsidR="008C4B26" w:rsidRDefault="008C4B2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B7"/>
    <w:rsid w:val="00007648"/>
    <w:rsid w:val="002B14BC"/>
    <w:rsid w:val="003120B4"/>
    <w:rsid w:val="003319A8"/>
    <w:rsid w:val="00384FF5"/>
    <w:rsid w:val="003A1CB7"/>
    <w:rsid w:val="004E4F95"/>
    <w:rsid w:val="005216CF"/>
    <w:rsid w:val="005764E2"/>
    <w:rsid w:val="005A28A3"/>
    <w:rsid w:val="005B5BCB"/>
    <w:rsid w:val="00663068"/>
    <w:rsid w:val="00687ADF"/>
    <w:rsid w:val="008479F0"/>
    <w:rsid w:val="008C4B26"/>
    <w:rsid w:val="0099344A"/>
    <w:rsid w:val="00B00144"/>
    <w:rsid w:val="00B76B70"/>
    <w:rsid w:val="00BC4DA9"/>
    <w:rsid w:val="00DD152E"/>
    <w:rsid w:val="00E0700A"/>
    <w:rsid w:val="00E63024"/>
    <w:rsid w:val="00E77278"/>
    <w:rsid w:val="00EB6858"/>
    <w:rsid w:val="00ED4CCB"/>
    <w:rsid w:val="00F02F11"/>
    <w:rsid w:val="00FD0CFA"/>
    <w:rsid w:val="00FF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1C616"/>
  <w14:defaultImageDpi w14:val="32767"/>
  <w15:docId w15:val="{35D7995A-2EAD-41F8-83B4-8AD56DA1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4B26"/>
    <w:rPr>
      <w:sz w:val="20"/>
      <w:szCs w:val="20"/>
    </w:rPr>
  </w:style>
  <w:style w:type="character" w:customStyle="1" w:styleId="FootnoteTextChar">
    <w:name w:val="Footnote Text Char"/>
    <w:basedOn w:val="DefaultParagraphFont"/>
    <w:link w:val="FootnoteText"/>
    <w:uiPriority w:val="99"/>
    <w:semiHidden/>
    <w:rsid w:val="008C4B26"/>
    <w:rPr>
      <w:sz w:val="20"/>
      <w:szCs w:val="20"/>
    </w:rPr>
  </w:style>
  <w:style w:type="character" w:styleId="FootnoteReference">
    <w:name w:val="footnote reference"/>
    <w:basedOn w:val="DefaultParagraphFont"/>
    <w:uiPriority w:val="99"/>
    <w:semiHidden/>
    <w:unhideWhenUsed/>
    <w:rsid w:val="008C4B26"/>
    <w:rPr>
      <w:vertAlign w:val="superscript"/>
    </w:rPr>
  </w:style>
  <w:style w:type="paragraph" w:styleId="BalloonText">
    <w:name w:val="Balloon Text"/>
    <w:basedOn w:val="Normal"/>
    <w:link w:val="BalloonTextChar"/>
    <w:uiPriority w:val="99"/>
    <w:semiHidden/>
    <w:unhideWhenUsed/>
    <w:rsid w:val="008C4B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4B26"/>
    <w:rPr>
      <w:rFonts w:ascii="Times New Roman" w:hAnsi="Times New Roman" w:cs="Times New Roman"/>
      <w:sz w:val="18"/>
      <w:szCs w:val="18"/>
    </w:rPr>
  </w:style>
  <w:style w:type="character" w:customStyle="1" w:styleId="normaltextrun">
    <w:name w:val="normaltextrun"/>
    <w:basedOn w:val="DefaultParagraphFont"/>
    <w:rsid w:val="0099344A"/>
  </w:style>
  <w:style w:type="paragraph" w:styleId="Header">
    <w:name w:val="header"/>
    <w:basedOn w:val="Normal"/>
    <w:link w:val="HeaderChar"/>
    <w:uiPriority w:val="99"/>
    <w:unhideWhenUsed/>
    <w:rsid w:val="00384FF5"/>
    <w:pPr>
      <w:tabs>
        <w:tab w:val="center" w:pos="4320"/>
        <w:tab w:val="right" w:pos="8640"/>
      </w:tabs>
    </w:pPr>
  </w:style>
  <w:style w:type="character" w:customStyle="1" w:styleId="HeaderChar">
    <w:name w:val="Header Char"/>
    <w:basedOn w:val="DefaultParagraphFont"/>
    <w:link w:val="Header"/>
    <w:uiPriority w:val="99"/>
    <w:rsid w:val="00384FF5"/>
  </w:style>
  <w:style w:type="paragraph" w:styleId="Footer">
    <w:name w:val="footer"/>
    <w:basedOn w:val="Normal"/>
    <w:link w:val="FooterChar"/>
    <w:uiPriority w:val="99"/>
    <w:unhideWhenUsed/>
    <w:rsid w:val="00384FF5"/>
    <w:pPr>
      <w:tabs>
        <w:tab w:val="center" w:pos="4320"/>
        <w:tab w:val="right" w:pos="8640"/>
      </w:tabs>
    </w:pPr>
  </w:style>
  <w:style w:type="character" w:customStyle="1" w:styleId="FooterChar">
    <w:name w:val="Footer Char"/>
    <w:basedOn w:val="DefaultParagraphFont"/>
    <w:link w:val="Footer"/>
    <w:uiPriority w:val="99"/>
    <w:rsid w:val="0038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1026">
      <w:bodyDiv w:val="1"/>
      <w:marLeft w:val="0"/>
      <w:marRight w:val="0"/>
      <w:marTop w:val="0"/>
      <w:marBottom w:val="0"/>
      <w:divBdr>
        <w:top w:val="none" w:sz="0" w:space="0" w:color="auto"/>
        <w:left w:val="none" w:sz="0" w:space="0" w:color="auto"/>
        <w:bottom w:val="none" w:sz="0" w:space="0" w:color="auto"/>
        <w:right w:val="none" w:sz="0" w:space="0" w:color="auto"/>
      </w:divBdr>
    </w:div>
    <w:div w:id="316805509">
      <w:bodyDiv w:val="1"/>
      <w:marLeft w:val="0"/>
      <w:marRight w:val="0"/>
      <w:marTop w:val="0"/>
      <w:marBottom w:val="0"/>
      <w:divBdr>
        <w:top w:val="none" w:sz="0" w:space="0" w:color="auto"/>
        <w:left w:val="none" w:sz="0" w:space="0" w:color="auto"/>
        <w:bottom w:val="none" w:sz="0" w:space="0" w:color="auto"/>
        <w:right w:val="none" w:sz="0" w:space="0" w:color="auto"/>
      </w:divBdr>
    </w:div>
    <w:div w:id="383409127">
      <w:bodyDiv w:val="1"/>
      <w:marLeft w:val="0"/>
      <w:marRight w:val="0"/>
      <w:marTop w:val="0"/>
      <w:marBottom w:val="0"/>
      <w:divBdr>
        <w:top w:val="none" w:sz="0" w:space="0" w:color="auto"/>
        <w:left w:val="none" w:sz="0" w:space="0" w:color="auto"/>
        <w:bottom w:val="none" w:sz="0" w:space="0" w:color="auto"/>
        <w:right w:val="none" w:sz="0" w:space="0" w:color="auto"/>
      </w:divBdr>
    </w:div>
    <w:div w:id="396636568">
      <w:bodyDiv w:val="1"/>
      <w:marLeft w:val="0"/>
      <w:marRight w:val="0"/>
      <w:marTop w:val="0"/>
      <w:marBottom w:val="0"/>
      <w:divBdr>
        <w:top w:val="none" w:sz="0" w:space="0" w:color="auto"/>
        <w:left w:val="none" w:sz="0" w:space="0" w:color="auto"/>
        <w:bottom w:val="none" w:sz="0" w:space="0" w:color="auto"/>
        <w:right w:val="none" w:sz="0" w:space="0" w:color="auto"/>
      </w:divBdr>
    </w:div>
    <w:div w:id="410398103">
      <w:bodyDiv w:val="1"/>
      <w:marLeft w:val="0"/>
      <w:marRight w:val="0"/>
      <w:marTop w:val="0"/>
      <w:marBottom w:val="0"/>
      <w:divBdr>
        <w:top w:val="none" w:sz="0" w:space="0" w:color="auto"/>
        <w:left w:val="none" w:sz="0" w:space="0" w:color="auto"/>
        <w:bottom w:val="none" w:sz="0" w:space="0" w:color="auto"/>
        <w:right w:val="none" w:sz="0" w:space="0" w:color="auto"/>
      </w:divBdr>
    </w:div>
    <w:div w:id="553548293">
      <w:bodyDiv w:val="1"/>
      <w:marLeft w:val="0"/>
      <w:marRight w:val="0"/>
      <w:marTop w:val="0"/>
      <w:marBottom w:val="0"/>
      <w:divBdr>
        <w:top w:val="none" w:sz="0" w:space="0" w:color="auto"/>
        <w:left w:val="none" w:sz="0" w:space="0" w:color="auto"/>
        <w:bottom w:val="none" w:sz="0" w:space="0" w:color="auto"/>
        <w:right w:val="none" w:sz="0" w:space="0" w:color="auto"/>
      </w:divBdr>
    </w:div>
    <w:div w:id="595754410">
      <w:bodyDiv w:val="1"/>
      <w:marLeft w:val="0"/>
      <w:marRight w:val="0"/>
      <w:marTop w:val="0"/>
      <w:marBottom w:val="0"/>
      <w:divBdr>
        <w:top w:val="none" w:sz="0" w:space="0" w:color="auto"/>
        <w:left w:val="none" w:sz="0" w:space="0" w:color="auto"/>
        <w:bottom w:val="none" w:sz="0" w:space="0" w:color="auto"/>
        <w:right w:val="none" w:sz="0" w:space="0" w:color="auto"/>
      </w:divBdr>
    </w:div>
    <w:div w:id="737629168">
      <w:bodyDiv w:val="1"/>
      <w:marLeft w:val="0"/>
      <w:marRight w:val="0"/>
      <w:marTop w:val="0"/>
      <w:marBottom w:val="0"/>
      <w:divBdr>
        <w:top w:val="none" w:sz="0" w:space="0" w:color="auto"/>
        <w:left w:val="none" w:sz="0" w:space="0" w:color="auto"/>
        <w:bottom w:val="none" w:sz="0" w:space="0" w:color="auto"/>
        <w:right w:val="none" w:sz="0" w:space="0" w:color="auto"/>
      </w:divBdr>
    </w:div>
    <w:div w:id="738555863">
      <w:bodyDiv w:val="1"/>
      <w:marLeft w:val="0"/>
      <w:marRight w:val="0"/>
      <w:marTop w:val="0"/>
      <w:marBottom w:val="0"/>
      <w:divBdr>
        <w:top w:val="none" w:sz="0" w:space="0" w:color="auto"/>
        <w:left w:val="none" w:sz="0" w:space="0" w:color="auto"/>
        <w:bottom w:val="none" w:sz="0" w:space="0" w:color="auto"/>
        <w:right w:val="none" w:sz="0" w:space="0" w:color="auto"/>
      </w:divBdr>
    </w:div>
    <w:div w:id="968360966">
      <w:bodyDiv w:val="1"/>
      <w:marLeft w:val="0"/>
      <w:marRight w:val="0"/>
      <w:marTop w:val="0"/>
      <w:marBottom w:val="0"/>
      <w:divBdr>
        <w:top w:val="none" w:sz="0" w:space="0" w:color="auto"/>
        <w:left w:val="none" w:sz="0" w:space="0" w:color="auto"/>
        <w:bottom w:val="none" w:sz="0" w:space="0" w:color="auto"/>
        <w:right w:val="none" w:sz="0" w:space="0" w:color="auto"/>
      </w:divBdr>
    </w:div>
    <w:div w:id="1012998500">
      <w:bodyDiv w:val="1"/>
      <w:marLeft w:val="0"/>
      <w:marRight w:val="0"/>
      <w:marTop w:val="0"/>
      <w:marBottom w:val="0"/>
      <w:divBdr>
        <w:top w:val="none" w:sz="0" w:space="0" w:color="auto"/>
        <w:left w:val="none" w:sz="0" w:space="0" w:color="auto"/>
        <w:bottom w:val="none" w:sz="0" w:space="0" w:color="auto"/>
        <w:right w:val="none" w:sz="0" w:space="0" w:color="auto"/>
      </w:divBdr>
    </w:div>
    <w:div w:id="1139686131">
      <w:bodyDiv w:val="1"/>
      <w:marLeft w:val="0"/>
      <w:marRight w:val="0"/>
      <w:marTop w:val="0"/>
      <w:marBottom w:val="0"/>
      <w:divBdr>
        <w:top w:val="none" w:sz="0" w:space="0" w:color="auto"/>
        <w:left w:val="none" w:sz="0" w:space="0" w:color="auto"/>
        <w:bottom w:val="none" w:sz="0" w:space="0" w:color="auto"/>
        <w:right w:val="none" w:sz="0" w:space="0" w:color="auto"/>
      </w:divBdr>
    </w:div>
    <w:div w:id="1147865917">
      <w:bodyDiv w:val="1"/>
      <w:marLeft w:val="0"/>
      <w:marRight w:val="0"/>
      <w:marTop w:val="0"/>
      <w:marBottom w:val="0"/>
      <w:divBdr>
        <w:top w:val="none" w:sz="0" w:space="0" w:color="auto"/>
        <w:left w:val="none" w:sz="0" w:space="0" w:color="auto"/>
        <w:bottom w:val="none" w:sz="0" w:space="0" w:color="auto"/>
        <w:right w:val="none" w:sz="0" w:space="0" w:color="auto"/>
      </w:divBdr>
    </w:div>
    <w:div w:id="1193306384">
      <w:bodyDiv w:val="1"/>
      <w:marLeft w:val="0"/>
      <w:marRight w:val="0"/>
      <w:marTop w:val="0"/>
      <w:marBottom w:val="0"/>
      <w:divBdr>
        <w:top w:val="none" w:sz="0" w:space="0" w:color="auto"/>
        <w:left w:val="none" w:sz="0" w:space="0" w:color="auto"/>
        <w:bottom w:val="none" w:sz="0" w:space="0" w:color="auto"/>
        <w:right w:val="none" w:sz="0" w:space="0" w:color="auto"/>
      </w:divBdr>
    </w:div>
    <w:div w:id="1247038914">
      <w:bodyDiv w:val="1"/>
      <w:marLeft w:val="0"/>
      <w:marRight w:val="0"/>
      <w:marTop w:val="0"/>
      <w:marBottom w:val="0"/>
      <w:divBdr>
        <w:top w:val="none" w:sz="0" w:space="0" w:color="auto"/>
        <w:left w:val="none" w:sz="0" w:space="0" w:color="auto"/>
        <w:bottom w:val="none" w:sz="0" w:space="0" w:color="auto"/>
        <w:right w:val="none" w:sz="0" w:space="0" w:color="auto"/>
      </w:divBdr>
    </w:div>
    <w:div w:id="1299728749">
      <w:bodyDiv w:val="1"/>
      <w:marLeft w:val="0"/>
      <w:marRight w:val="0"/>
      <w:marTop w:val="0"/>
      <w:marBottom w:val="0"/>
      <w:divBdr>
        <w:top w:val="none" w:sz="0" w:space="0" w:color="auto"/>
        <w:left w:val="none" w:sz="0" w:space="0" w:color="auto"/>
        <w:bottom w:val="none" w:sz="0" w:space="0" w:color="auto"/>
        <w:right w:val="none" w:sz="0" w:space="0" w:color="auto"/>
      </w:divBdr>
    </w:div>
    <w:div w:id="1330911687">
      <w:bodyDiv w:val="1"/>
      <w:marLeft w:val="0"/>
      <w:marRight w:val="0"/>
      <w:marTop w:val="0"/>
      <w:marBottom w:val="0"/>
      <w:divBdr>
        <w:top w:val="none" w:sz="0" w:space="0" w:color="auto"/>
        <w:left w:val="none" w:sz="0" w:space="0" w:color="auto"/>
        <w:bottom w:val="none" w:sz="0" w:space="0" w:color="auto"/>
        <w:right w:val="none" w:sz="0" w:space="0" w:color="auto"/>
      </w:divBdr>
    </w:div>
    <w:div w:id="1486118116">
      <w:bodyDiv w:val="1"/>
      <w:marLeft w:val="0"/>
      <w:marRight w:val="0"/>
      <w:marTop w:val="0"/>
      <w:marBottom w:val="0"/>
      <w:divBdr>
        <w:top w:val="none" w:sz="0" w:space="0" w:color="auto"/>
        <w:left w:val="none" w:sz="0" w:space="0" w:color="auto"/>
        <w:bottom w:val="none" w:sz="0" w:space="0" w:color="auto"/>
        <w:right w:val="none" w:sz="0" w:space="0" w:color="auto"/>
      </w:divBdr>
    </w:div>
    <w:div w:id="1807819864">
      <w:bodyDiv w:val="1"/>
      <w:marLeft w:val="0"/>
      <w:marRight w:val="0"/>
      <w:marTop w:val="0"/>
      <w:marBottom w:val="0"/>
      <w:divBdr>
        <w:top w:val="none" w:sz="0" w:space="0" w:color="auto"/>
        <w:left w:val="none" w:sz="0" w:space="0" w:color="auto"/>
        <w:bottom w:val="none" w:sz="0" w:space="0" w:color="auto"/>
        <w:right w:val="none" w:sz="0" w:space="0" w:color="auto"/>
      </w:divBdr>
    </w:div>
    <w:div w:id="1813062679">
      <w:bodyDiv w:val="1"/>
      <w:marLeft w:val="0"/>
      <w:marRight w:val="0"/>
      <w:marTop w:val="0"/>
      <w:marBottom w:val="0"/>
      <w:divBdr>
        <w:top w:val="none" w:sz="0" w:space="0" w:color="auto"/>
        <w:left w:val="none" w:sz="0" w:space="0" w:color="auto"/>
        <w:bottom w:val="none" w:sz="0" w:space="0" w:color="auto"/>
        <w:right w:val="none" w:sz="0" w:space="0" w:color="auto"/>
      </w:divBdr>
    </w:div>
    <w:div w:id="1844467747">
      <w:bodyDiv w:val="1"/>
      <w:marLeft w:val="0"/>
      <w:marRight w:val="0"/>
      <w:marTop w:val="0"/>
      <w:marBottom w:val="0"/>
      <w:divBdr>
        <w:top w:val="none" w:sz="0" w:space="0" w:color="auto"/>
        <w:left w:val="none" w:sz="0" w:space="0" w:color="auto"/>
        <w:bottom w:val="none" w:sz="0" w:space="0" w:color="auto"/>
        <w:right w:val="none" w:sz="0" w:space="0" w:color="auto"/>
      </w:divBdr>
    </w:div>
    <w:div w:id="1865169049">
      <w:bodyDiv w:val="1"/>
      <w:marLeft w:val="0"/>
      <w:marRight w:val="0"/>
      <w:marTop w:val="0"/>
      <w:marBottom w:val="0"/>
      <w:divBdr>
        <w:top w:val="none" w:sz="0" w:space="0" w:color="auto"/>
        <w:left w:val="none" w:sz="0" w:space="0" w:color="auto"/>
        <w:bottom w:val="none" w:sz="0" w:space="0" w:color="auto"/>
        <w:right w:val="none" w:sz="0" w:space="0" w:color="auto"/>
      </w:divBdr>
    </w:div>
    <w:div w:id="1892960509">
      <w:bodyDiv w:val="1"/>
      <w:marLeft w:val="0"/>
      <w:marRight w:val="0"/>
      <w:marTop w:val="0"/>
      <w:marBottom w:val="0"/>
      <w:divBdr>
        <w:top w:val="none" w:sz="0" w:space="0" w:color="auto"/>
        <w:left w:val="none" w:sz="0" w:space="0" w:color="auto"/>
        <w:bottom w:val="none" w:sz="0" w:space="0" w:color="auto"/>
        <w:right w:val="none" w:sz="0" w:space="0" w:color="auto"/>
      </w:divBdr>
    </w:div>
    <w:div w:id="2035109326">
      <w:bodyDiv w:val="1"/>
      <w:marLeft w:val="0"/>
      <w:marRight w:val="0"/>
      <w:marTop w:val="0"/>
      <w:marBottom w:val="0"/>
      <w:divBdr>
        <w:top w:val="none" w:sz="0" w:space="0" w:color="auto"/>
        <w:left w:val="none" w:sz="0" w:space="0" w:color="auto"/>
        <w:bottom w:val="none" w:sz="0" w:space="0" w:color="auto"/>
        <w:right w:val="none" w:sz="0" w:space="0" w:color="auto"/>
      </w:divBdr>
    </w:div>
    <w:div w:id="2085104795">
      <w:bodyDiv w:val="1"/>
      <w:marLeft w:val="0"/>
      <w:marRight w:val="0"/>
      <w:marTop w:val="0"/>
      <w:marBottom w:val="0"/>
      <w:divBdr>
        <w:top w:val="none" w:sz="0" w:space="0" w:color="auto"/>
        <w:left w:val="none" w:sz="0" w:space="0" w:color="auto"/>
        <w:bottom w:val="none" w:sz="0" w:space="0" w:color="auto"/>
        <w:right w:val="none" w:sz="0" w:space="0" w:color="auto"/>
      </w:divBdr>
    </w:div>
    <w:div w:id="2113165016">
      <w:bodyDiv w:val="1"/>
      <w:marLeft w:val="0"/>
      <w:marRight w:val="0"/>
      <w:marTop w:val="0"/>
      <w:marBottom w:val="0"/>
      <w:divBdr>
        <w:top w:val="none" w:sz="0" w:space="0" w:color="auto"/>
        <w:left w:val="none" w:sz="0" w:space="0" w:color="auto"/>
        <w:bottom w:val="none" w:sz="0" w:space="0" w:color="auto"/>
        <w:right w:val="none" w:sz="0" w:space="0" w:color="auto"/>
      </w:divBdr>
    </w:div>
    <w:div w:id="21463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Inquiries and Information</dc:creator>
  <cp:keywords/>
  <dc:description/>
  <cp:lastModifiedBy>Alexandra Frazier</cp:lastModifiedBy>
  <cp:revision>2</cp:revision>
  <cp:lastPrinted>2019-11-14T19:46:00Z</cp:lastPrinted>
  <dcterms:created xsi:type="dcterms:W3CDTF">2020-04-18T15:58:00Z</dcterms:created>
  <dcterms:modified xsi:type="dcterms:W3CDTF">2020-04-18T15:58:00Z</dcterms:modified>
</cp:coreProperties>
</file>